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D1" w:rsidRPr="00914944" w:rsidRDefault="00A525D1" w:rsidP="00A525D1">
      <w:pPr>
        <w:jc w:val="center"/>
        <w:rPr>
          <w:rFonts w:ascii="Calibri" w:hAnsi="Calibri"/>
          <w:b/>
          <w:color w:val="2E74B5" w:themeColor="accent1" w:themeShade="BF"/>
          <w:sz w:val="48"/>
        </w:rPr>
      </w:pPr>
      <w:r w:rsidRPr="00914944">
        <w:rPr>
          <w:rFonts w:ascii="Calibri" w:hAnsi="Calibri"/>
          <w:noProof/>
          <w:color w:val="2E74B5" w:themeColor="accent1" w:themeShade="BF"/>
          <w:sz w:val="36"/>
        </w:rPr>
        <w:drawing>
          <wp:inline distT="0" distB="0" distL="0" distR="0" wp14:anchorId="5051EE16" wp14:editId="72279C5A">
            <wp:extent cx="2797554" cy="865910"/>
            <wp:effectExtent l="0" t="0" r="0" b="0"/>
            <wp:docPr id="1" name="Picture 1" descr="/Users/CWoodward/Dropbox/Newton Prep/NP-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Woodward/Dropbox/Newton Prep/NP-Logo-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4297" cy="867997"/>
                    </a:xfrm>
                    <a:prstGeom prst="rect">
                      <a:avLst/>
                    </a:prstGeom>
                    <a:noFill/>
                    <a:ln>
                      <a:noFill/>
                    </a:ln>
                  </pic:spPr>
                </pic:pic>
              </a:graphicData>
            </a:graphic>
          </wp:inline>
        </w:drawing>
      </w:r>
    </w:p>
    <w:p w:rsidR="00A525D1" w:rsidRDefault="00A525D1" w:rsidP="00A525D1">
      <w:pPr>
        <w:jc w:val="center"/>
        <w:outlineLvl w:val="0"/>
        <w:rPr>
          <w:rFonts w:ascii="Calibri" w:hAnsi="Calibri"/>
          <w:b/>
          <w:color w:val="2E74B5" w:themeColor="accent1" w:themeShade="BF"/>
          <w:sz w:val="36"/>
          <w:szCs w:val="36"/>
        </w:rPr>
      </w:pPr>
    </w:p>
    <w:p w:rsidR="00A525D1" w:rsidRPr="0010703B" w:rsidRDefault="00A525D1" w:rsidP="00A525D1">
      <w:pPr>
        <w:jc w:val="center"/>
        <w:outlineLvl w:val="0"/>
        <w:rPr>
          <w:rFonts w:ascii="Calibri" w:hAnsi="Calibri"/>
          <w:b/>
          <w:color w:val="2E74B5" w:themeColor="accent1" w:themeShade="BF"/>
          <w:sz w:val="36"/>
          <w:szCs w:val="36"/>
        </w:rPr>
      </w:pPr>
      <w:r w:rsidRPr="0010703B">
        <w:rPr>
          <w:rFonts w:ascii="Calibri" w:hAnsi="Calibri"/>
          <w:b/>
          <w:color w:val="2E74B5" w:themeColor="accent1" w:themeShade="BF"/>
          <w:sz w:val="36"/>
          <w:szCs w:val="36"/>
        </w:rPr>
        <w:t>Appointment of a Self-Employed Visiting Music Teacher (Piano)</w:t>
      </w:r>
    </w:p>
    <w:p w:rsidR="00A525D1" w:rsidRDefault="00A525D1" w:rsidP="00A525D1">
      <w:pPr>
        <w:rPr>
          <w:rFonts w:ascii="Calibri" w:hAnsi="Calibri"/>
          <w:b/>
          <w:color w:val="2E74B5" w:themeColor="accent1" w:themeShade="BF"/>
          <w:sz w:val="22"/>
          <w:szCs w:val="18"/>
        </w:rPr>
      </w:pPr>
    </w:p>
    <w:p w:rsidR="00A525D1" w:rsidRPr="00D96026" w:rsidRDefault="00A525D1" w:rsidP="00A525D1">
      <w:pPr>
        <w:pBdr>
          <w:bottom w:val="single" w:sz="4" w:space="1" w:color="002060"/>
        </w:pBdr>
        <w:spacing w:line="276" w:lineRule="auto"/>
        <w:outlineLvl w:val="0"/>
        <w:rPr>
          <w:rFonts w:ascii="Calibri" w:hAnsi="Calibri"/>
          <w:b/>
          <w:color w:val="2E74B5" w:themeColor="accent1" w:themeShade="BF"/>
        </w:rPr>
      </w:pPr>
      <w:r>
        <w:rPr>
          <w:rFonts w:ascii="Calibri" w:hAnsi="Calibri"/>
          <w:b/>
          <w:color w:val="2E74B5" w:themeColor="accent1" w:themeShade="BF"/>
          <w:sz w:val="40"/>
        </w:rPr>
        <w:t>THE POSITION</w:t>
      </w:r>
    </w:p>
    <w:p w:rsidR="00A525D1" w:rsidRDefault="00A525D1" w:rsidP="00A525D1">
      <w:pPr>
        <w:spacing w:line="276" w:lineRule="auto"/>
        <w:jc w:val="both"/>
        <w:rPr>
          <w:rFonts w:ascii="Calibri" w:hAnsi="Calibri"/>
          <w:color w:val="2E74B5" w:themeColor="accent1" w:themeShade="BF"/>
          <w:sz w:val="28"/>
          <w:szCs w:val="28"/>
        </w:rPr>
      </w:pPr>
    </w:p>
    <w:p w:rsidR="00A525D1" w:rsidRPr="00D617BD" w:rsidRDefault="00A525D1" w:rsidP="00A525D1">
      <w:pPr>
        <w:spacing w:line="276" w:lineRule="auto"/>
        <w:jc w:val="both"/>
        <w:rPr>
          <w:rFonts w:ascii="Calibri" w:hAnsi="Calibri"/>
          <w:color w:val="2E74B5" w:themeColor="accent1" w:themeShade="BF"/>
          <w:sz w:val="26"/>
          <w:szCs w:val="26"/>
        </w:rPr>
      </w:pPr>
      <w:proofErr w:type="gramStart"/>
      <w:r w:rsidRPr="00D617BD">
        <w:rPr>
          <w:rFonts w:ascii="Calibri" w:hAnsi="Calibri"/>
          <w:color w:val="2E74B5" w:themeColor="accent1" w:themeShade="BF"/>
          <w:sz w:val="26"/>
          <w:szCs w:val="26"/>
        </w:rPr>
        <w:t xml:space="preserve">Visiting </w:t>
      </w:r>
      <w:r>
        <w:rPr>
          <w:rFonts w:ascii="Calibri" w:hAnsi="Calibri"/>
          <w:color w:val="2E74B5" w:themeColor="accent1" w:themeShade="BF"/>
          <w:sz w:val="26"/>
          <w:szCs w:val="26"/>
        </w:rPr>
        <w:t>M</w:t>
      </w:r>
      <w:r w:rsidRPr="00D617BD">
        <w:rPr>
          <w:rFonts w:ascii="Calibri" w:hAnsi="Calibri"/>
          <w:color w:val="2E74B5" w:themeColor="accent1" w:themeShade="BF"/>
          <w:sz w:val="26"/>
          <w:szCs w:val="26"/>
        </w:rPr>
        <w:t xml:space="preserve">usic </w:t>
      </w:r>
      <w:r>
        <w:rPr>
          <w:rFonts w:ascii="Calibri" w:hAnsi="Calibri"/>
          <w:color w:val="2E74B5" w:themeColor="accent1" w:themeShade="BF"/>
          <w:sz w:val="26"/>
          <w:szCs w:val="26"/>
        </w:rPr>
        <w:t>T</w:t>
      </w:r>
      <w:r w:rsidRPr="00D617BD">
        <w:rPr>
          <w:rFonts w:ascii="Calibri" w:hAnsi="Calibri"/>
          <w:color w:val="2E74B5" w:themeColor="accent1" w:themeShade="BF"/>
          <w:sz w:val="26"/>
          <w:szCs w:val="26"/>
        </w:rPr>
        <w:t xml:space="preserve">eachers are recruited by the Headmistress and </w:t>
      </w:r>
      <w:r>
        <w:rPr>
          <w:rFonts w:ascii="Calibri" w:hAnsi="Calibri"/>
          <w:color w:val="2E74B5" w:themeColor="accent1" w:themeShade="BF"/>
          <w:sz w:val="26"/>
          <w:szCs w:val="26"/>
        </w:rPr>
        <w:t>Director of Music</w:t>
      </w:r>
      <w:proofErr w:type="gramEnd"/>
      <w:r w:rsidRPr="00D617BD">
        <w:rPr>
          <w:rFonts w:ascii="Calibri" w:hAnsi="Calibri"/>
          <w:color w:val="2E74B5" w:themeColor="accent1" w:themeShade="BF"/>
          <w:sz w:val="26"/>
          <w:szCs w:val="26"/>
        </w:rPr>
        <w:t xml:space="preserve">. They are responsible to the Headmistress, via the </w:t>
      </w:r>
      <w:r>
        <w:rPr>
          <w:rFonts w:ascii="Calibri" w:hAnsi="Calibri"/>
          <w:color w:val="2E74B5" w:themeColor="accent1" w:themeShade="BF"/>
          <w:sz w:val="26"/>
          <w:szCs w:val="26"/>
        </w:rPr>
        <w:t>Director of Music</w:t>
      </w:r>
      <w:r w:rsidRPr="00D617BD">
        <w:rPr>
          <w:rFonts w:ascii="Calibri" w:hAnsi="Calibri"/>
          <w:color w:val="2E74B5" w:themeColor="accent1" w:themeShade="BF"/>
          <w:sz w:val="26"/>
          <w:szCs w:val="26"/>
        </w:rPr>
        <w:t>, in all matters relating to performance, ensembles, recruitment</w:t>
      </w:r>
      <w:r>
        <w:rPr>
          <w:rFonts w:ascii="Calibri" w:hAnsi="Calibri"/>
          <w:color w:val="2E74B5" w:themeColor="accent1" w:themeShade="BF"/>
          <w:sz w:val="26"/>
          <w:szCs w:val="26"/>
        </w:rPr>
        <w:t xml:space="preserve">, </w:t>
      </w:r>
      <w:r w:rsidRPr="00D617BD">
        <w:rPr>
          <w:rFonts w:ascii="Calibri" w:hAnsi="Calibri"/>
          <w:color w:val="2E74B5" w:themeColor="accent1" w:themeShade="BF"/>
          <w:sz w:val="26"/>
          <w:szCs w:val="26"/>
        </w:rPr>
        <w:t>pupil progress and the day-to-day management of their timetables.</w:t>
      </w:r>
    </w:p>
    <w:p w:rsidR="00A525D1" w:rsidRPr="00D617BD" w:rsidRDefault="00A525D1" w:rsidP="00A525D1">
      <w:pPr>
        <w:spacing w:line="276" w:lineRule="auto"/>
        <w:rPr>
          <w:rFonts w:ascii="Calibri" w:hAnsi="Calibri"/>
          <w:color w:val="2E74B5" w:themeColor="accent1" w:themeShade="BF"/>
          <w:sz w:val="26"/>
          <w:szCs w:val="26"/>
        </w:rPr>
      </w:pPr>
    </w:p>
    <w:p w:rsidR="00A525D1" w:rsidRPr="00D617BD" w:rsidRDefault="00A525D1" w:rsidP="00A525D1">
      <w:pPr>
        <w:spacing w:line="276" w:lineRule="auto"/>
        <w:jc w:val="both"/>
        <w:rPr>
          <w:rFonts w:ascii="Calibri" w:hAnsi="Calibri"/>
          <w:color w:val="2E74B5" w:themeColor="accent1" w:themeShade="BF"/>
          <w:sz w:val="26"/>
          <w:szCs w:val="26"/>
        </w:rPr>
      </w:pPr>
      <w:r w:rsidRPr="00D617BD">
        <w:rPr>
          <w:rFonts w:ascii="Calibri" w:hAnsi="Calibri"/>
          <w:color w:val="2E74B5" w:themeColor="accent1" w:themeShade="BF"/>
          <w:sz w:val="26"/>
          <w:szCs w:val="26"/>
        </w:rPr>
        <w:t>Visiting Music Teachers are self-employed and invoice parents directly</w:t>
      </w:r>
      <w:r>
        <w:rPr>
          <w:rFonts w:ascii="Calibri" w:hAnsi="Calibri"/>
          <w:color w:val="2E74B5" w:themeColor="accent1" w:themeShade="BF"/>
          <w:sz w:val="26"/>
          <w:szCs w:val="26"/>
        </w:rPr>
        <w:t xml:space="preserve"> each term</w:t>
      </w:r>
      <w:r w:rsidRPr="00D617BD">
        <w:rPr>
          <w:rFonts w:ascii="Calibri" w:hAnsi="Calibri"/>
          <w:color w:val="2E74B5" w:themeColor="accent1" w:themeShade="BF"/>
          <w:sz w:val="26"/>
          <w:szCs w:val="26"/>
        </w:rPr>
        <w:t xml:space="preserve">. </w:t>
      </w:r>
      <w:r>
        <w:rPr>
          <w:rFonts w:ascii="Calibri" w:hAnsi="Calibri"/>
          <w:color w:val="2E74B5" w:themeColor="accent1" w:themeShade="BF"/>
          <w:sz w:val="26"/>
          <w:szCs w:val="26"/>
        </w:rPr>
        <w:t xml:space="preserve">Visiting Music Teachers </w:t>
      </w:r>
      <w:proofErr w:type="gramStart"/>
      <w:r>
        <w:rPr>
          <w:rFonts w:ascii="Calibri" w:hAnsi="Calibri"/>
          <w:color w:val="2E74B5" w:themeColor="accent1" w:themeShade="BF"/>
          <w:sz w:val="26"/>
          <w:szCs w:val="26"/>
        </w:rPr>
        <w:t>are expected</w:t>
      </w:r>
      <w:proofErr w:type="gramEnd"/>
      <w:r>
        <w:rPr>
          <w:rFonts w:ascii="Calibri" w:hAnsi="Calibri"/>
          <w:color w:val="2E74B5" w:themeColor="accent1" w:themeShade="BF"/>
          <w:sz w:val="26"/>
          <w:szCs w:val="26"/>
        </w:rPr>
        <w:t xml:space="preserve"> to liaise with parents to arrange lessons, payment and progress.  Visiting Music Teachers currently charge £51.05 per hour.</w:t>
      </w:r>
    </w:p>
    <w:p w:rsidR="00A525D1" w:rsidRPr="00D617BD" w:rsidRDefault="00A525D1" w:rsidP="00A525D1">
      <w:pPr>
        <w:spacing w:line="276" w:lineRule="auto"/>
        <w:jc w:val="both"/>
        <w:rPr>
          <w:rFonts w:ascii="Calibri" w:hAnsi="Calibri"/>
          <w:color w:val="2E74B5" w:themeColor="accent1" w:themeShade="BF"/>
          <w:sz w:val="26"/>
          <w:szCs w:val="26"/>
        </w:rPr>
      </w:pPr>
    </w:p>
    <w:p w:rsidR="00A525D1" w:rsidRPr="00914944" w:rsidRDefault="00A525D1" w:rsidP="00A525D1">
      <w:pPr>
        <w:pBdr>
          <w:bottom w:val="single" w:sz="6" w:space="1" w:color="2E74B5" w:themeColor="accent1" w:themeShade="BF"/>
        </w:pBdr>
        <w:spacing w:line="276" w:lineRule="auto"/>
        <w:outlineLvl w:val="0"/>
        <w:rPr>
          <w:rFonts w:ascii="Calibri" w:hAnsi="Calibri"/>
          <w:b/>
          <w:color w:val="2E74B5" w:themeColor="accent1" w:themeShade="BF"/>
          <w:sz w:val="40"/>
        </w:rPr>
      </w:pPr>
      <w:r w:rsidRPr="00914944">
        <w:rPr>
          <w:rFonts w:ascii="Calibri" w:hAnsi="Calibri"/>
          <w:b/>
          <w:color w:val="2E74B5" w:themeColor="accent1" w:themeShade="BF"/>
          <w:sz w:val="40"/>
        </w:rPr>
        <w:t>THE SCHOOL</w:t>
      </w:r>
    </w:p>
    <w:p w:rsidR="00A525D1" w:rsidRDefault="00A525D1" w:rsidP="00A525D1">
      <w:pPr>
        <w:spacing w:line="276" w:lineRule="auto"/>
        <w:jc w:val="both"/>
        <w:rPr>
          <w:rFonts w:ascii="Calibri" w:hAnsi="Calibri"/>
          <w:color w:val="2E74B5" w:themeColor="accent1" w:themeShade="BF"/>
          <w:sz w:val="28"/>
          <w:szCs w:val="28"/>
        </w:rPr>
      </w:pPr>
    </w:p>
    <w:p w:rsidR="00A525D1" w:rsidRDefault="00A525D1" w:rsidP="00A525D1">
      <w:pPr>
        <w:spacing w:line="276" w:lineRule="auto"/>
        <w:jc w:val="both"/>
        <w:rPr>
          <w:rFonts w:ascii="Calibri" w:hAnsi="Calibri"/>
          <w:color w:val="2E74B5" w:themeColor="accent1" w:themeShade="BF"/>
          <w:sz w:val="26"/>
          <w:szCs w:val="26"/>
        </w:rPr>
      </w:pPr>
      <w:r w:rsidRPr="00B30C99">
        <w:rPr>
          <w:rFonts w:ascii="Calibri" w:hAnsi="Calibri"/>
          <w:color w:val="2E74B5" w:themeColor="accent1" w:themeShade="BF"/>
          <w:sz w:val="26"/>
          <w:szCs w:val="26"/>
        </w:rPr>
        <w:t xml:space="preserve">Established in 1991, Newton Prep is a thriving school for boys and girls, aged 3-13. The School is unashamedly ambitious for its pupils who have access to outstanding facilities. We want them to achieve their academic potential whilst also engaging in sport, art, music and drama. </w:t>
      </w:r>
    </w:p>
    <w:p w:rsidR="00A525D1" w:rsidRDefault="00A525D1" w:rsidP="00A525D1">
      <w:pPr>
        <w:spacing w:line="276" w:lineRule="auto"/>
        <w:jc w:val="both"/>
        <w:rPr>
          <w:rFonts w:ascii="Calibri" w:hAnsi="Calibri"/>
          <w:color w:val="2E74B5" w:themeColor="accent1" w:themeShade="BF"/>
          <w:sz w:val="26"/>
          <w:szCs w:val="26"/>
        </w:rPr>
      </w:pPr>
    </w:p>
    <w:p w:rsidR="00A525D1" w:rsidRDefault="00A525D1" w:rsidP="00A525D1">
      <w:pPr>
        <w:spacing w:line="276" w:lineRule="auto"/>
        <w:jc w:val="both"/>
        <w:rPr>
          <w:rFonts w:ascii="Calibri" w:hAnsi="Calibri"/>
          <w:color w:val="2E74B5" w:themeColor="accent1" w:themeShade="BF"/>
          <w:sz w:val="26"/>
          <w:szCs w:val="26"/>
        </w:rPr>
      </w:pPr>
      <w:r w:rsidRPr="00B30C99">
        <w:rPr>
          <w:rFonts w:ascii="Calibri" w:hAnsi="Calibri"/>
          <w:color w:val="2E74B5" w:themeColor="accent1" w:themeShade="BF"/>
          <w:sz w:val="26"/>
          <w:szCs w:val="26"/>
        </w:rPr>
        <w:t xml:space="preserve">We want them to involve themselves in the total life of the School, which includes after school clubs and activities and a wide range of trips. We celebrate the diversity of our pupils; we want our children to develop a strong sense of community, learning how to make a positive contribution to the community of Newton Prep and the world around them. The ethos and philosophy is one that </w:t>
      </w:r>
      <w:proofErr w:type="gramStart"/>
      <w:r w:rsidRPr="00B30C99">
        <w:rPr>
          <w:rFonts w:ascii="Calibri" w:hAnsi="Calibri"/>
          <w:color w:val="2E74B5" w:themeColor="accent1" w:themeShade="BF"/>
          <w:sz w:val="26"/>
          <w:szCs w:val="26"/>
        </w:rPr>
        <w:t>is based</w:t>
      </w:r>
      <w:proofErr w:type="gramEnd"/>
      <w:r w:rsidRPr="00B30C99">
        <w:rPr>
          <w:rFonts w:ascii="Calibri" w:hAnsi="Calibri"/>
          <w:color w:val="2E74B5" w:themeColor="accent1" w:themeShade="BF"/>
          <w:sz w:val="26"/>
          <w:szCs w:val="26"/>
        </w:rPr>
        <w:t xml:space="preserve"> on mutual respect and kindness shown to others. </w:t>
      </w:r>
    </w:p>
    <w:p w:rsidR="00A525D1" w:rsidRDefault="00A525D1" w:rsidP="00A525D1">
      <w:pPr>
        <w:spacing w:line="276" w:lineRule="auto"/>
        <w:jc w:val="both"/>
        <w:rPr>
          <w:rFonts w:ascii="Calibri" w:hAnsi="Calibri"/>
          <w:color w:val="2E74B5" w:themeColor="accent1" w:themeShade="BF"/>
          <w:sz w:val="26"/>
          <w:szCs w:val="26"/>
        </w:rPr>
      </w:pPr>
    </w:p>
    <w:p w:rsidR="00A525D1" w:rsidRPr="00D617BD" w:rsidRDefault="00A525D1" w:rsidP="00A525D1">
      <w:pPr>
        <w:spacing w:line="276" w:lineRule="auto"/>
        <w:jc w:val="both"/>
        <w:rPr>
          <w:rFonts w:ascii="Calibri" w:hAnsi="Calibri"/>
          <w:color w:val="2E74B5" w:themeColor="accent1" w:themeShade="BF"/>
          <w:sz w:val="26"/>
          <w:szCs w:val="26"/>
        </w:rPr>
      </w:pPr>
      <w:r w:rsidRPr="00B30C99">
        <w:rPr>
          <w:rFonts w:ascii="Calibri" w:hAnsi="Calibri"/>
          <w:color w:val="2E74B5" w:themeColor="accent1" w:themeShade="BF"/>
          <w:sz w:val="26"/>
          <w:szCs w:val="26"/>
        </w:rPr>
        <w:t xml:space="preserve">Fundamentally, we want Newton Prep children to enjoy </w:t>
      </w:r>
      <w:r>
        <w:rPr>
          <w:rFonts w:ascii="Calibri" w:hAnsi="Calibri"/>
          <w:color w:val="2E74B5" w:themeColor="accent1" w:themeShade="BF"/>
          <w:sz w:val="26"/>
          <w:szCs w:val="26"/>
        </w:rPr>
        <w:t>their precious childhood years.</w:t>
      </w:r>
    </w:p>
    <w:p w:rsidR="00A525D1" w:rsidRDefault="00A525D1" w:rsidP="00A525D1">
      <w:pPr>
        <w:spacing w:line="276" w:lineRule="auto"/>
        <w:jc w:val="both"/>
        <w:outlineLvl w:val="0"/>
        <w:rPr>
          <w:rFonts w:ascii="Calibri" w:hAnsi="Calibri"/>
          <w:color w:val="2E74B5" w:themeColor="accent1" w:themeShade="BF"/>
          <w:sz w:val="26"/>
          <w:szCs w:val="26"/>
        </w:rPr>
      </w:pPr>
    </w:p>
    <w:p w:rsidR="00A525D1" w:rsidRPr="00D617BD" w:rsidRDefault="00A525D1" w:rsidP="00A525D1">
      <w:pPr>
        <w:spacing w:line="276" w:lineRule="auto"/>
        <w:jc w:val="both"/>
        <w:outlineLvl w:val="0"/>
        <w:rPr>
          <w:rFonts w:ascii="Calibri" w:hAnsi="Calibri"/>
          <w:color w:val="2E74B5" w:themeColor="accent1" w:themeShade="BF"/>
          <w:sz w:val="26"/>
          <w:szCs w:val="26"/>
        </w:rPr>
      </w:pPr>
      <w:r w:rsidRPr="00D617BD">
        <w:rPr>
          <w:rFonts w:ascii="Calibri" w:hAnsi="Calibri"/>
          <w:color w:val="2E74B5" w:themeColor="accent1" w:themeShade="BF"/>
          <w:sz w:val="26"/>
          <w:szCs w:val="26"/>
        </w:rPr>
        <w:lastRenderedPageBreak/>
        <w:t xml:space="preserve">In the school, there are currently </w:t>
      </w:r>
      <w:r>
        <w:rPr>
          <w:rFonts w:ascii="Calibri" w:hAnsi="Calibri"/>
          <w:color w:val="2E74B5" w:themeColor="accent1" w:themeShade="BF"/>
          <w:sz w:val="26"/>
          <w:szCs w:val="26"/>
        </w:rPr>
        <w:t>over 640</w:t>
      </w:r>
      <w:r w:rsidRPr="00D617BD">
        <w:rPr>
          <w:rFonts w:ascii="Calibri" w:hAnsi="Calibri"/>
          <w:color w:val="2E74B5" w:themeColor="accent1" w:themeShade="BF"/>
          <w:sz w:val="26"/>
          <w:szCs w:val="26"/>
        </w:rPr>
        <w:t xml:space="preserve"> pupils from Nursery to Year 8.</w:t>
      </w:r>
    </w:p>
    <w:p w:rsidR="00A525D1" w:rsidRPr="00D617BD" w:rsidRDefault="00A525D1" w:rsidP="00A525D1">
      <w:pPr>
        <w:spacing w:line="276" w:lineRule="auto"/>
        <w:jc w:val="both"/>
        <w:rPr>
          <w:rFonts w:ascii="Calibri" w:hAnsi="Calibri"/>
          <w:color w:val="2E74B5" w:themeColor="accent1" w:themeShade="BF"/>
          <w:sz w:val="26"/>
          <w:szCs w:val="26"/>
        </w:rPr>
      </w:pPr>
    </w:p>
    <w:p w:rsidR="00A525D1" w:rsidRDefault="00A525D1" w:rsidP="00A525D1">
      <w:pPr>
        <w:spacing w:line="276" w:lineRule="auto"/>
        <w:jc w:val="both"/>
        <w:rPr>
          <w:rFonts w:ascii="Calibri" w:hAnsi="Calibri"/>
          <w:color w:val="2E74B5" w:themeColor="accent1" w:themeShade="BF"/>
          <w:sz w:val="26"/>
          <w:szCs w:val="26"/>
        </w:rPr>
      </w:pPr>
      <w:r w:rsidRPr="00D617BD">
        <w:rPr>
          <w:rFonts w:ascii="Calibri" w:hAnsi="Calibri"/>
          <w:color w:val="2E74B5" w:themeColor="accent1" w:themeShade="BF"/>
          <w:sz w:val="26"/>
          <w:szCs w:val="26"/>
        </w:rPr>
        <w:t>Newton Prep is committed to safeguarding and promoting the welfare of children and young people and expects all staff and volunteers to share this commitment.</w:t>
      </w:r>
    </w:p>
    <w:p w:rsidR="00A525D1" w:rsidRPr="00C94C92" w:rsidRDefault="00A525D1" w:rsidP="00A525D1">
      <w:pPr>
        <w:spacing w:line="276" w:lineRule="auto"/>
        <w:jc w:val="both"/>
        <w:rPr>
          <w:rFonts w:ascii="Calibri" w:hAnsi="Calibri"/>
          <w:color w:val="2E74B5" w:themeColor="accent1" w:themeShade="BF"/>
          <w:sz w:val="26"/>
          <w:szCs w:val="26"/>
        </w:rPr>
      </w:pPr>
    </w:p>
    <w:p w:rsidR="00A525D1" w:rsidRPr="00914944" w:rsidRDefault="00A525D1" w:rsidP="00A525D1">
      <w:pPr>
        <w:pBdr>
          <w:bottom w:val="single" w:sz="6" w:space="1" w:color="2E74B5" w:themeColor="accent1" w:themeShade="BF"/>
        </w:pBdr>
        <w:spacing w:line="276" w:lineRule="auto"/>
        <w:outlineLvl w:val="0"/>
        <w:rPr>
          <w:rFonts w:ascii="Calibri" w:hAnsi="Calibri"/>
          <w:b/>
          <w:color w:val="2E74B5" w:themeColor="accent1" w:themeShade="BF"/>
          <w:sz w:val="40"/>
        </w:rPr>
      </w:pPr>
      <w:r w:rsidRPr="00914944">
        <w:rPr>
          <w:rFonts w:ascii="Calibri" w:hAnsi="Calibri"/>
          <w:b/>
          <w:color w:val="2E74B5" w:themeColor="accent1" w:themeShade="BF"/>
          <w:sz w:val="40"/>
        </w:rPr>
        <w:t>THE MUSIC DEPARTMENT</w:t>
      </w:r>
    </w:p>
    <w:p w:rsidR="00A525D1" w:rsidRDefault="00A525D1" w:rsidP="00A525D1">
      <w:pPr>
        <w:spacing w:line="276" w:lineRule="auto"/>
        <w:jc w:val="both"/>
        <w:rPr>
          <w:rFonts w:ascii="Calibri" w:hAnsi="Calibri"/>
          <w:color w:val="2E74B5" w:themeColor="accent1" w:themeShade="BF"/>
          <w:sz w:val="28"/>
          <w:szCs w:val="28"/>
        </w:rPr>
      </w:pPr>
    </w:p>
    <w:p w:rsidR="00A525D1" w:rsidRDefault="00A525D1" w:rsidP="00A525D1">
      <w:pPr>
        <w:spacing w:line="276" w:lineRule="auto"/>
        <w:jc w:val="both"/>
        <w:rPr>
          <w:rFonts w:ascii="Calibri" w:hAnsi="Calibri"/>
          <w:color w:val="2E74B5" w:themeColor="accent1" w:themeShade="BF"/>
          <w:sz w:val="28"/>
          <w:szCs w:val="28"/>
        </w:rPr>
      </w:pPr>
      <w:r>
        <w:rPr>
          <w:rFonts w:ascii="Calibri" w:hAnsi="Calibri"/>
          <w:color w:val="2E74B5" w:themeColor="accent1" w:themeShade="BF"/>
          <w:sz w:val="28"/>
          <w:szCs w:val="28"/>
        </w:rPr>
        <w:t xml:space="preserve">The full-time staff comprises of the Director of Music, two music teachers and a Music &amp; Drama Administrator, who assists with the day-to-day running of both the Music and Drama departments. In addition, there are two full-time Visiting Music Teachers and a further fifteen part-time visiting Music teachers. </w:t>
      </w:r>
    </w:p>
    <w:p w:rsidR="00A525D1" w:rsidRDefault="00A525D1" w:rsidP="00A525D1">
      <w:pPr>
        <w:spacing w:line="276" w:lineRule="auto"/>
        <w:jc w:val="both"/>
        <w:rPr>
          <w:rFonts w:ascii="Calibri" w:hAnsi="Calibri"/>
          <w:color w:val="2E74B5" w:themeColor="accent1" w:themeShade="BF"/>
          <w:sz w:val="28"/>
          <w:szCs w:val="28"/>
        </w:rPr>
      </w:pPr>
    </w:p>
    <w:p w:rsidR="00A525D1" w:rsidRDefault="00A525D1" w:rsidP="00A525D1">
      <w:pPr>
        <w:spacing w:line="276" w:lineRule="auto"/>
        <w:jc w:val="both"/>
        <w:rPr>
          <w:rFonts w:ascii="Calibri" w:hAnsi="Calibri"/>
          <w:color w:val="2E74B5" w:themeColor="accent1" w:themeShade="BF"/>
          <w:sz w:val="28"/>
          <w:szCs w:val="28"/>
        </w:rPr>
      </w:pPr>
      <w:r>
        <w:rPr>
          <w:rFonts w:ascii="Calibri" w:hAnsi="Calibri"/>
          <w:color w:val="2E74B5" w:themeColor="accent1" w:themeShade="BF"/>
          <w:sz w:val="28"/>
          <w:szCs w:val="28"/>
        </w:rPr>
        <w:t>The School offers individual tuition on most orchestral instruments and approximately 60% of pupils are currently receiving individual lessons each week. M</w:t>
      </w:r>
      <w:proofErr w:type="gramStart"/>
      <w:r>
        <w:rPr>
          <w:rFonts w:ascii="Calibri" w:hAnsi="Calibri"/>
          <w:color w:val="2E74B5" w:themeColor="accent1" w:themeShade="BF"/>
          <w:sz w:val="28"/>
          <w:szCs w:val="28"/>
        </w:rPr>
        <w:t>:Tech</w:t>
      </w:r>
      <w:proofErr w:type="gramEnd"/>
      <w:r>
        <w:rPr>
          <w:rFonts w:ascii="Calibri" w:hAnsi="Calibri"/>
          <w:color w:val="2E74B5" w:themeColor="accent1" w:themeShade="BF"/>
          <w:sz w:val="28"/>
          <w:szCs w:val="28"/>
        </w:rPr>
        <w:t xml:space="preserve"> Music Technology sessions are also available as an after school activity.</w:t>
      </w:r>
    </w:p>
    <w:p w:rsidR="00A525D1" w:rsidRDefault="00A525D1" w:rsidP="00A525D1">
      <w:pPr>
        <w:spacing w:line="276" w:lineRule="auto"/>
        <w:jc w:val="both"/>
        <w:rPr>
          <w:rFonts w:ascii="Calibri" w:hAnsi="Calibri"/>
          <w:color w:val="2E74B5" w:themeColor="accent1" w:themeShade="BF"/>
          <w:sz w:val="28"/>
          <w:szCs w:val="28"/>
        </w:rPr>
      </w:pPr>
    </w:p>
    <w:p w:rsidR="00A525D1" w:rsidRPr="00AB6EDE" w:rsidRDefault="00A525D1" w:rsidP="00A525D1">
      <w:pPr>
        <w:spacing w:line="276" w:lineRule="auto"/>
        <w:jc w:val="both"/>
        <w:rPr>
          <w:rFonts w:ascii="Calibri" w:hAnsi="Calibri"/>
          <w:color w:val="2E74B5" w:themeColor="accent1" w:themeShade="BF"/>
          <w:sz w:val="28"/>
          <w:szCs w:val="28"/>
        </w:rPr>
      </w:pPr>
      <w:r w:rsidRPr="00914944">
        <w:rPr>
          <w:rFonts w:ascii="Calibri" w:hAnsi="Calibri"/>
          <w:color w:val="2E74B5" w:themeColor="accent1" w:themeShade="BF"/>
          <w:sz w:val="28"/>
          <w:szCs w:val="28"/>
        </w:rPr>
        <w:t xml:space="preserve">The Music Department </w:t>
      </w:r>
      <w:r>
        <w:rPr>
          <w:rFonts w:ascii="Calibri" w:hAnsi="Calibri"/>
          <w:color w:val="2E74B5" w:themeColor="accent1" w:themeShade="BF"/>
          <w:sz w:val="28"/>
          <w:szCs w:val="28"/>
        </w:rPr>
        <w:t>has</w:t>
      </w:r>
      <w:r w:rsidRPr="00914944">
        <w:rPr>
          <w:rFonts w:ascii="Calibri" w:hAnsi="Calibri"/>
          <w:color w:val="2E74B5" w:themeColor="accent1" w:themeShade="BF"/>
          <w:sz w:val="28"/>
          <w:szCs w:val="28"/>
        </w:rPr>
        <w:t xml:space="preserve"> </w:t>
      </w:r>
      <w:r>
        <w:rPr>
          <w:rFonts w:ascii="Calibri" w:hAnsi="Calibri"/>
          <w:color w:val="2E74B5" w:themeColor="accent1" w:themeShade="BF"/>
          <w:sz w:val="28"/>
          <w:szCs w:val="28"/>
        </w:rPr>
        <w:t xml:space="preserve">truly </w:t>
      </w:r>
      <w:r w:rsidRPr="00914944">
        <w:rPr>
          <w:rFonts w:ascii="Calibri" w:hAnsi="Calibri"/>
          <w:color w:val="2E74B5" w:themeColor="accent1" w:themeShade="BF"/>
          <w:sz w:val="28"/>
          <w:szCs w:val="28"/>
        </w:rPr>
        <w:t>first</w:t>
      </w:r>
      <w:r>
        <w:rPr>
          <w:rFonts w:ascii="Calibri" w:hAnsi="Calibri"/>
          <w:color w:val="2E74B5" w:themeColor="accent1" w:themeShade="BF"/>
          <w:sz w:val="28"/>
          <w:szCs w:val="28"/>
        </w:rPr>
        <w:t>-</w:t>
      </w:r>
      <w:r w:rsidRPr="00914944">
        <w:rPr>
          <w:rFonts w:ascii="Calibri" w:hAnsi="Calibri"/>
          <w:color w:val="2E74B5" w:themeColor="accent1" w:themeShade="BF"/>
          <w:sz w:val="28"/>
          <w:szCs w:val="28"/>
        </w:rPr>
        <w:t>class facilities</w:t>
      </w:r>
      <w:r>
        <w:rPr>
          <w:rFonts w:ascii="Calibri" w:hAnsi="Calibri"/>
          <w:color w:val="2E74B5" w:themeColor="accent1" w:themeShade="BF"/>
          <w:sz w:val="28"/>
          <w:szCs w:val="28"/>
        </w:rPr>
        <w:t>. In 2018, the 120-seat</w:t>
      </w:r>
      <w:r w:rsidRPr="00AB6EDE">
        <w:rPr>
          <w:rFonts w:ascii="Calibri" w:hAnsi="Calibri"/>
          <w:color w:val="2E74B5" w:themeColor="accent1" w:themeShade="BF"/>
          <w:sz w:val="28"/>
          <w:szCs w:val="28"/>
        </w:rPr>
        <w:t xml:space="preserve"> </w:t>
      </w:r>
      <w:r>
        <w:rPr>
          <w:rFonts w:ascii="Calibri" w:hAnsi="Calibri"/>
          <w:color w:val="2E74B5" w:themeColor="accent1" w:themeShade="BF"/>
          <w:sz w:val="28"/>
          <w:szCs w:val="28"/>
        </w:rPr>
        <w:t>r</w:t>
      </w:r>
      <w:r w:rsidRPr="00AB6EDE">
        <w:rPr>
          <w:rFonts w:ascii="Calibri" w:hAnsi="Calibri"/>
          <w:color w:val="2E74B5" w:themeColor="accent1" w:themeShade="BF"/>
          <w:sz w:val="28"/>
          <w:szCs w:val="28"/>
        </w:rPr>
        <w:t xml:space="preserve">ecital </w:t>
      </w:r>
      <w:r>
        <w:rPr>
          <w:rFonts w:ascii="Calibri" w:hAnsi="Calibri"/>
          <w:color w:val="2E74B5" w:themeColor="accent1" w:themeShade="BF"/>
          <w:sz w:val="28"/>
          <w:szCs w:val="28"/>
        </w:rPr>
        <w:t>h</w:t>
      </w:r>
      <w:r w:rsidRPr="00AB6EDE">
        <w:rPr>
          <w:rFonts w:ascii="Calibri" w:hAnsi="Calibri"/>
          <w:color w:val="2E74B5" w:themeColor="accent1" w:themeShade="BF"/>
          <w:sz w:val="28"/>
          <w:szCs w:val="28"/>
        </w:rPr>
        <w:t>all</w:t>
      </w:r>
      <w:r>
        <w:rPr>
          <w:rFonts w:ascii="Calibri" w:hAnsi="Calibri"/>
          <w:color w:val="2E74B5" w:themeColor="accent1" w:themeShade="BF"/>
          <w:sz w:val="28"/>
          <w:szCs w:val="28"/>
        </w:rPr>
        <w:t xml:space="preserve"> </w:t>
      </w:r>
      <w:proofErr w:type="gramStart"/>
      <w:r>
        <w:rPr>
          <w:rFonts w:ascii="Calibri" w:hAnsi="Calibri"/>
          <w:color w:val="2E74B5" w:themeColor="accent1" w:themeShade="BF"/>
          <w:sz w:val="28"/>
          <w:szCs w:val="28"/>
        </w:rPr>
        <w:t>was refurbished</w:t>
      </w:r>
      <w:proofErr w:type="gramEnd"/>
      <w:r>
        <w:rPr>
          <w:rFonts w:ascii="Calibri" w:hAnsi="Calibri"/>
          <w:color w:val="2E74B5" w:themeColor="accent1" w:themeShade="BF"/>
          <w:sz w:val="28"/>
          <w:szCs w:val="28"/>
        </w:rPr>
        <w:t xml:space="preserve"> and is fully iPad controlled with recording facilities and a grand piano. Most recently, a new and dedicated teaching space </w:t>
      </w:r>
      <w:proofErr w:type="gramStart"/>
      <w:r>
        <w:rPr>
          <w:rFonts w:ascii="Calibri" w:hAnsi="Calibri"/>
          <w:color w:val="2E74B5" w:themeColor="accent1" w:themeShade="BF"/>
          <w:sz w:val="28"/>
          <w:szCs w:val="28"/>
        </w:rPr>
        <w:t>has been created</w:t>
      </w:r>
      <w:proofErr w:type="gramEnd"/>
      <w:r>
        <w:rPr>
          <w:rFonts w:ascii="Calibri" w:hAnsi="Calibri"/>
          <w:color w:val="2E74B5" w:themeColor="accent1" w:themeShade="BF"/>
          <w:sz w:val="28"/>
          <w:szCs w:val="28"/>
        </w:rPr>
        <w:t xml:space="preserve"> for regular class music lessons and ensemble rehearsals. In addition, the music department has </w:t>
      </w:r>
      <w:r w:rsidRPr="00AB6EDE">
        <w:rPr>
          <w:rFonts w:ascii="Calibri" w:hAnsi="Calibri"/>
          <w:color w:val="2E74B5" w:themeColor="accent1" w:themeShade="BF"/>
          <w:sz w:val="28"/>
          <w:szCs w:val="28"/>
        </w:rPr>
        <w:t xml:space="preserve">a recording studio, </w:t>
      </w:r>
      <w:r>
        <w:rPr>
          <w:rFonts w:ascii="Calibri" w:hAnsi="Calibri"/>
          <w:color w:val="2E74B5" w:themeColor="accent1" w:themeShade="BF"/>
          <w:sz w:val="28"/>
          <w:szCs w:val="28"/>
        </w:rPr>
        <w:t>Music T</w:t>
      </w:r>
      <w:r w:rsidRPr="00AB6EDE">
        <w:rPr>
          <w:rFonts w:ascii="Calibri" w:hAnsi="Calibri"/>
          <w:color w:val="2E74B5" w:themeColor="accent1" w:themeShade="BF"/>
          <w:sz w:val="28"/>
          <w:szCs w:val="28"/>
        </w:rPr>
        <w:t>echnology</w:t>
      </w:r>
      <w:r>
        <w:rPr>
          <w:rFonts w:ascii="Calibri" w:hAnsi="Calibri"/>
          <w:color w:val="2E74B5" w:themeColor="accent1" w:themeShade="BF"/>
          <w:sz w:val="28"/>
          <w:szCs w:val="28"/>
        </w:rPr>
        <w:t xml:space="preserve"> Mac</w:t>
      </w:r>
      <w:r w:rsidRPr="00AB6EDE">
        <w:rPr>
          <w:rFonts w:ascii="Calibri" w:hAnsi="Calibri"/>
          <w:color w:val="2E74B5" w:themeColor="accent1" w:themeShade="BF"/>
          <w:sz w:val="28"/>
          <w:szCs w:val="28"/>
        </w:rPr>
        <w:t xml:space="preserve"> </w:t>
      </w:r>
      <w:r>
        <w:rPr>
          <w:rFonts w:ascii="Calibri" w:hAnsi="Calibri"/>
          <w:color w:val="2E74B5" w:themeColor="accent1" w:themeShade="BF"/>
          <w:sz w:val="28"/>
          <w:szCs w:val="28"/>
        </w:rPr>
        <w:t>Suite</w:t>
      </w:r>
      <w:r w:rsidRPr="00AB6EDE">
        <w:rPr>
          <w:rFonts w:ascii="Calibri" w:hAnsi="Calibri"/>
          <w:color w:val="2E74B5" w:themeColor="accent1" w:themeShade="BF"/>
          <w:sz w:val="28"/>
          <w:szCs w:val="28"/>
        </w:rPr>
        <w:t xml:space="preserve"> and </w:t>
      </w:r>
      <w:r>
        <w:rPr>
          <w:rFonts w:ascii="Calibri" w:hAnsi="Calibri"/>
          <w:color w:val="2E74B5" w:themeColor="accent1" w:themeShade="BF"/>
          <w:sz w:val="28"/>
          <w:szCs w:val="28"/>
        </w:rPr>
        <w:t xml:space="preserve">ten </w:t>
      </w:r>
      <w:r w:rsidRPr="00AB6EDE">
        <w:rPr>
          <w:rFonts w:ascii="Calibri" w:hAnsi="Calibri"/>
          <w:color w:val="2E74B5" w:themeColor="accent1" w:themeShade="BF"/>
          <w:sz w:val="28"/>
          <w:szCs w:val="28"/>
        </w:rPr>
        <w:t>practice rooms</w:t>
      </w:r>
      <w:r>
        <w:rPr>
          <w:rFonts w:ascii="Calibri" w:hAnsi="Calibri"/>
          <w:color w:val="2E74B5" w:themeColor="accent1" w:themeShade="BF"/>
          <w:sz w:val="28"/>
          <w:szCs w:val="28"/>
        </w:rPr>
        <w:t xml:space="preserve"> with pianos</w:t>
      </w:r>
      <w:r w:rsidRPr="00AB6EDE">
        <w:rPr>
          <w:rFonts w:ascii="Calibri" w:hAnsi="Calibri"/>
          <w:color w:val="2E74B5" w:themeColor="accent1" w:themeShade="BF"/>
          <w:sz w:val="28"/>
          <w:szCs w:val="28"/>
        </w:rPr>
        <w:t>.</w:t>
      </w:r>
      <w:r>
        <w:rPr>
          <w:rFonts w:ascii="Calibri" w:hAnsi="Calibri"/>
          <w:color w:val="2E74B5" w:themeColor="accent1" w:themeShade="BF"/>
          <w:sz w:val="28"/>
          <w:szCs w:val="28"/>
        </w:rPr>
        <w:t xml:space="preserve"> There are two excellent Grand Pianos in principal teaching space and Auditorium. All three grand pianos in the department are available for teaching and practising by arrangement.</w:t>
      </w:r>
    </w:p>
    <w:p w:rsidR="00A525D1" w:rsidRDefault="00A525D1" w:rsidP="00A525D1">
      <w:pPr>
        <w:spacing w:line="276" w:lineRule="auto"/>
        <w:jc w:val="both"/>
        <w:rPr>
          <w:rFonts w:ascii="Calibri" w:hAnsi="Calibri"/>
          <w:color w:val="2E74B5" w:themeColor="accent1" w:themeShade="BF"/>
          <w:sz w:val="28"/>
          <w:szCs w:val="28"/>
        </w:rPr>
      </w:pPr>
    </w:p>
    <w:p w:rsidR="00A525D1" w:rsidRDefault="00A525D1" w:rsidP="00A525D1">
      <w:pPr>
        <w:spacing w:line="276" w:lineRule="auto"/>
        <w:jc w:val="both"/>
        <w:rPr>
          <w:rFonts w:ascii="Calibri" w:hAnsi="Calibri"/>
          <w:color w:val="2E74B5" w:themeColor="accent1" w:themeShade="BF"/>
          <w:sz w:val="28"/>
          <w:szCs w:val="28"/>
        </w:rPr>
      </w:pPr>
      <w:r w:rsidRPr="00914944">
        <w:rPr>
          <w:rFonts w:ascii="Calibri" w:hAnsi="Calibri"/>
          <w:color w:val="2E74B5" w:themeColor="accent1" w:themeShade="BF"/>
          <w:sz w:val="28"/>
          <w:szCs w:val="28"/>
        </w:rPr>
        <w:t xml:space="preserve">Through their participation in choirs and ensembles, pupils are taught how to demonstrate commitment and </w:t>
      </w:r>
      <w:proofErr w:type="gramStart"/>
      <w:r w:rsidRPr="00914944">
        <w:rPr>
          <w:rFonts w:ascii="Calibri" w:hAnsi="Calibri"/>
          <w:color w:val="2E74B5" w:themeColor="accent1" w:themeShade="BF"/>
          <w:sz w:val="28"/>
          <w:szCs w:val="28"/>
        </w:rPr>
        <w:t>team-work</w:t>
      </w:r>
      <w:proofErr w:type="gramEnd"/>
      <w:r w:rsidRPr="00914944">
        <w:rPr>
          <w:rFonts w:ascii="Calibri" w:hAnsi="Calibri"/>
          <w:color w:val="2E74B5" w:themeColor="accent1" w:themeShade="BF"/>
          <w:sz w:val="28"/>
          <w:szCs w:val="28"/>
        </w:rPr>
        <w:t>: they are expected to both work hard and enjoy their rehearsals so that their performance shines as a product of practice, creativity and flare.</w:t>
      </w:r>
      <w:r>
        <w:rPr>
          <w:rFonts w:ascii="Calibri" w:hAnsi="Calibri"/>
          <w:color w:val="2E74B5" w:themeColor="accent1" w:themeShade="BF"/>
          <w:sz w:val="28"/>
          <w:szCs w:val="28"/>
        </w:rPr>
        <w:t xml:space="preserve"> Pupils have many opportunities to perform and there are a good </w:t>
      </w:r>
      <w:r w:rsidRPr="00AB6EDE">
        <w:rPr>
          <w:rFonts w:ascii="Calibri" w:hAnsi="Calibri"/>
          <w:color w:val="2E74B5" w:themeColor="accent1" w:themeShade="BF"/>
          <w:sz w:val="28"/>
          <w:szCs w:val="28"/>
        </w:rPr>
        <w:t>number of concerts, recitals and other perfor</w:t>
      </w:r>
      <w:r>
        <w:rPr>
          <w:rFonts w:ascii="Calibri" w:hAnsi="Calibri"/>
          <w:color w:val="2E74B5" w:themeColor="accent1" w:themeShade="BF"/>
          <w:sz w:val="28"/>
          <w:szCs w:val="28"/>
        </w:rPr>
        <w:t>mance opportunities throughout the school year.</w:t>
      </w:r>
    </w:p>
    <w:p w:rsidR="00A525D1" w:rsidRDefault="00A525D1" w:rsidP="00A525D1">
      <w:pPr>
        <w:spacing w:line="276" w:lineRule="auto"/>
        <w:jc w:val="both"/>
        <w:rPr>
          <w:rFonts w:ascii="Calibri" w:hAnsi="Calibri"/>
          <w:color w:val="2E74B5" w:themeColor="accent1" w:themeShade="BF"/>
          <w:sz w:val="28"/>
          <w:szCs w:val="28"/>
        </w:rPr>
      </w:pPr>
    </w:p>
    <w:p w:rsidR="00A525D1" w:rsidRDefault="00A525D1" w:rsidP="00A525D1">
      <w:pPr>
        <w:spacing w:line="276" w:lineRule="auto"/>
        <w:jc w:val="both"/>
        <w:rPr>
          <w:rFonts w:ascii="Calibri" w:hAnsi="Calibri"/>
          <w:color w:val="2E74B5" w:themeColor="accent1" w:themeShade="BF"/>
          <w:sz w:val="28"/>
          <w:szCs w:val="28"/>
        </w:rPr>
      </w:pPr>
      <w:r>
        <w:rPr>
          <w:rFonts w:ascii="Calibri" w:hAnsi="Calibri"/>
          <w:color w:val="2E74B5" w:themeColor="accent1" w:themeShade="BF"/>
          <w:sz w:val="28"/>
          <w:szCs w:val="28"/>
        </w:rPr>
        <w:t>In the Lower School, pupils have the opportunity to join a number of extra-curricular groups outside of the timetabled school day.</w:t>
      </w:r>
    </w:p>
    <w:p w:rsidR="00A525D1" w:rsidRDefault="00A525D1" w:rsidP="00A525D1">
      <w:pPr>
        <w:spacing w:line="276" w:lineRule="auto"/>
        <w:jc w:val="both"/>
        <w:rPr>
          <w:rFonts w:ascii="Calibri" w:hAnsi="Calibri"/>
          <w:color w:val="2E74B5" w:themeColor="accent1" w:themeShade="BF"/>
          <w:sz w:val="28"/>
          <w:szCs w:val="28"/>
        </w:rPr>
      </w:pPr>
    </w:p>
    <w:p w:rsidR="00A525D1" w:rsidRDefault="00A525D1" w:rsidP="00A525D1">
      <w:pPr>
        <w:spacing w:line="276" w:lineRule="auto"/>
        <w:jc w:val="both"/>
        <w:rPr>
          <w:rFonts w:ascii="Calibri" w:hAnsi="Calibri"/>
          <w:color w:val="2E74B5" w:themeColor="accent1" w:themeShade="BF"/>
          <w:sz w:val="28"/>
          <w:szCs w:val="28"/>
        </w:rPr>
      </w:pPr>
      <w:r>
        <w:rPr>
          <w:rFonts w:ascii="Calibri" w:hAnsi="Calibri"/>
          <w:color w:val="2E74B5" w:themeColor="accent1" w:themeShade="BF"/>
          <w:sz w:val="28"/>
          <w:szCs w:val="28"/>
        </w:rPr>
        <w:t>In the Upper School (Years 3-8), pupils participate in a range of extra-curricular activities. Singing is strong, with over 140 (1/3 of Upper School) children participating in weekly choir rehearsals. String playing is similarly popular, with over 70 pupils learning a stringed instrument. Pupils regularly perform with professional musicians and the school offers Masterclasses and Educational Visits in Music for all pupils.</w:t>
      </w:r>
    </w:p>
    <w:p w:rsidR="00A525D1" w:rsidRDefault="00A525D1" w:rsidP="00A525D1">
      <w:pPr>
        <w:pBdr>
          <w:bottom w:val="single" w:sz="4" w:space="1" w:color="1F4E79" w:themeColor="accent1" w:themeShade="80"/>
        </w:pBdr>
        <w:outlineLvl w:val="0"/>
        <w:rPr>
          <w:rFonts w:ascii="Calibri" w:hAnsi="Calibri"/>
          <w:color w:val="2E74B5" w:themeColor="accent1" w:themeShade="BF"/>
          <w:sz w:val="28"/>
          <w:szCs w:val="28"/>
        </w:rPr>
      </w:pPr>
    </w:p>
    <w:p w:rsidR="00A525D1" w:rsidRPr="0010703B" w:rsidRDefault="00A525D1" w:rsidP="00A525D1">
      <w:pPr>
        <w:pBdr>
          <w:bottom w:val="single" w:sz="4" w:space="1" w:color="1F4E79" w:themeColor="accent1" w:themeShade="80"/>
        </w:pBdr>
        <w:outlineLvl w:val="0"/>
        <w:rPr>
          <w:rFonts w:ascii="Calibri" w:hAnsi="Calibri"/>
          <w:b/>
          <w:color w:val="2E74B5" w:themeColor="accent1" w:themeShade="BF"/>
          <w:sz w:val="40"/>
        </w:rPr>
      </w:pPr>
      <w:r>
        <w:rPr>
          <w:rFonts w:ascii="Calibri" w:hAnsi="Calibri"/>
          <w:b/>
          <w:color w:val="2E74B5" w:themeColor="accent1" w:themeShade="BF"/>
          <w:sz w:val="40"/>
        </w:rPr>
        <w:t>KEY DUTIES &amp; RESPONSIBILITIES</w:t>
      </w:r>
    </w:p>
    <w:p w:rsidR="00A525D1" w:rsidRDefault="00A525D1" w:rsidP="00A525D1">
      <w:pPr>
        <w:pStyle w:val="ListParagraph"/>
        <w:spacing w:after="100" w:line="360" w:lineRule="auto"/>
        <w:ind w:left="360"/>
        <w:jc w:val="both"/>
        <w:rPr>
          <w:rFonts w:ascii="Calibri" w:hAnsi="Calibri" w:cs="Times New Roman"/>
          <w:color w:val="2E74B5" w:themeColor="accent1" w:themeShade="BF"/>
          <w:sz w:val="28"/>
          <w:szCs w:val="28"/>
        </w:rPr>
      </w:pPr>
    </w:p>
    <w:p w:rsidR="00A525D1" w:rsidRPr="0010703B" w:rsidRDefault="00A525D1" w:rsidP="00A525D1">
      <w:pPr>
        <w:pStyle w:val="ListParagraph"/>
        <w:numPr>
          <w:ilvl w:val="0"/>
          <w:numId w:val="1"/>
        </w:numPr>
        <w:spacing w:after="100" w:line="360" w:lineRule="auto"/>
        <w:jc w:val="both"/>
        <w:rPr>
          <w:rFonts w:ascii="Calibri" w:hAnsi="Calibri" w:cs="Times New Roman"/>
          <w:color w:val="2E74B5" w:themeColor="accent1" w:themeShade="BF"/>
          <w:sz w:val="20"/>
          <w:szCs w:val="20"/>
        </w:rPr>
      </w:pPr>
      <w:r w:rsidRPr="0010703B">
        <w:rPr>
          <w:rFonts w:ascii="Calibri" w:hAnsi="Calibri" w:cs="Times New Roman"/>
          <w:color w:val="2E74B5" w:themeColor="accent1" w:themeShade="BF"/>
          <w:sz w:val="20"/>
          <w:szCs w:val="20"/>
        </w:rPr>
        <w:t>Inspiring musical performance of the highest quality through committed, skilled and outstanding one-to-one teaching, mainly in the Pre-Prep (Years 1 and 2).</w:t>
      </w:r>
    </w:p>
    <w:p w:rsidR="00A525D1" w:rsidRPr="0010703B" w:rsidRDefault="00A525D1" w:rsidP="00A525D1">
      <w:pPr>
        <w:pStyle w:val="ListParagraph"/>
        <w:numPr>
          <w:ilvl w:val="0"/>
          <w:numId w:val="1"/>
        </w:numPr>
        <w:spacing w:after="100" w:line="360" w:lineRule="auto"/>
        <w:jc w:val="both"/>
        <w:rPr>
          <w:rFonts w:ascii="Calibri" w:hAnsi="Calibri" w:cs="Times New Roman"/>
          <w:color w:val="2E74B5" w:themeColor="accent1" w:themeShade="BF"/>
          <w:sz w:val="20"/>
          <w:szCs w:val="20"/>
        </w:rPr>
      </w:pPr>
      <w:r w:rsidRPr="0010703B">
        <w:rPr>
          <w:rFonts w:ascii="Calibri" w:hAnsi="Calibri" w:cs="Times New Roman"/>
          <w:color w:val="2E74B5" w:themeColor="accent1" w:themeShade="BF"/>
          <w:sz w:val="20"/>
          <w:szCs w:val="20"/>
        </w:rPr>
        <w:t>Teaching to the individual needs, abilities and talents of each child, suggesting repertoire and adapting scores where necessary.</w:t>
      </w:r>
    </w:p>
    <w:p w:rsidR="00A525D1" w:rsidRPr="0010703B" w:rsidRDefault="00A525D1" w:rsidP="00A525D1">
      <w:pPr>
        <w:pStyle w:val="ListParagraph"/>
        <w:numPr>
          <w:ilvl w:val="0"/>
          <w:numId w:val="1"/>
        </w:numPr>
        <w:spacing w:after="100" w:line="360" w:lineRule="auto"/>
        <w:jc w:val="both"/>
        <w:rPr>
          <w:rFonts w:ascii="Calibri" w:hAnsi="Calibri" w:cs="Times New Roman"/>
          <w:color w:val="2E74B5" w:themeColor="accent1" w:themeShade="BF"/>
          <w:sz w:val="20"/>
          <w:szCs w:val="20"/>
        </w:rPr>
      </w:pPr>
      <w:r w:rsidRPr="0010703B">
        <w:rPr>
          <w:rFonts w:ascii="Calibri" w:hAnsi="Calibri" w:cs="Times New Roman"/>
          <w:color w:val="2E74B5" w:themeColor="accent1" w:themeShade="BF"/>
          <w:sz w:val="20"/>
          <w:szCs w:val="20"/>
        </w:rPr>
        <w:t>Identifying clear teaching objectives and learning outcomes, with appropriate challenge to deliver outstanding quality.</w:t>
      </w:r>
    </w:p>
    <w:p w:rsidR="00A525D1" w:rsidRPr="0010703B" w:rsidRDefault="00A525D1" w:rsidP="00A525D1">
      <w:pPr>
        <w:pStyle w:val="ListParagraph"/>
        <w:numPr>
          <w:ilvl w:val="0"/>
          <w:numId w:val="1"/>
        </w:numPr>
        <w:spacing w:after="100" w:line="360" w:lineRule="auto"/>
        <w:jc w:val="both"/>
        <w:rPr>
          <w:rFonts w:ascii="Calibri" w:hAnsi="Calibri" w:cs="Times New Roman"/>
          <w:color w:val="2E74B5" w:themeColor="accent1" w:themeShade="BF"/>
          <w:sz w:val="20"/>
          <w:szCs w:val="20"/>
        </w:rPr>
      </w:pPr>
      <w:r w:rsidRPr="0010703B">
        <w:rPr>
          <w:rFonts w:ascii="Calibri" w:hAnsi="Calibri" w:cs="Times New Roman"/>
          <w:color w:val="2E74B5" w:themeColor="accent1" w:themeShade="BF"/>
          <w:sz w:val="20"/>
          <w:szCs w:val="20"/>
        </w:rPr>
        <w:t>Assessing pupils’ progress, giving timely individual feedback to pupils and their parents as to how to progress further, including termly reports to parents?</w:t>
      </w:r>
    </w:p>
    <w:p w:rsidR="00A525D1" w:rsidRPr="0010703B" w:rsidRDefault="00A525D1" w:rsidP="00A525D1">
      <w:pPr>
        <w:pStyle w:val="ListParagraph"/>
        <w:numPr>
          <w:ilvl w:val="0"/>
          <w:numId w:val="1"/>
        </w:numPr>
        <w:spacing w:after="100" w:line="360" w:lineRule="auto"/>
        <w:jc w:val="both"/>
        <w:rPr>
          <w:rFonts w:ascii="Calibri" w:hAnsi="Calibri" w:cs="Times New Roman"/>
          <w:color w:val="2E74B5" w:themeColor="accent1" w:themeShade="BF"/>
          <w:sz w:val="20"/>
          <w:szCs w:val="20"/>
        </w:rPr>
      </w:pPr>
      <w:r w:rsidRPr="0010703B">
        <w:rPr>
          <w:rFonts w:ascii="Calibri" w:hAnsi="Calibri" w:cs="Times New Roman"/>
          <w:color w:val="2E74B5" w:themeColor="accent1" w:themeShade="BF"/>
          <w:sz w:val="20"/>
          <w:szCs w:val="20"/>
        </w:rPr>
        <w:t xml:space="preserve">To organise a weekly rotation timetable and liaise with the Director of Music on lesson organisation </w:t>
      </w:r>
      <w:proofErr w:type="spellStart"/>
      <w:r w:rsidRPr="0010703B">
        <w:rPr>
          <w:rFonts w:ascii="Calibri" w:hAnsi="Calibri" w:cs="Times New Roman"/>
          <w:color w:val="2E74B5" w:themeColor="accent1" w:themeShade="BF"/>
          <w:sz w:val="20"/>
          <w:szCs w:val="20"/>
        </w:rPr>
        <w:t>matter.s</w:t>
      </w:r>
      <w:proofErr w:type="spellEnd"/>
      <w:r w:rsidRPr="0010703B">
        <w:rPr>
          <w:rFonts w:ascii="Calibri" w:hAnsi="Calibri" w:cs="Times New Roman"/>
          <w:color w:val="2E74B5" w:themeColor="accent1" w:themeShade="BF"/>
          <w:sz w:val="20"/>
          <w:szCs w:val="20"/>
        </w:rPr>
        <w:t xml:space="preserve"> </w:t>
      </w:r>
    </w:p>
    <w:p w:rsidR="00A525D1" w:rsidRPr="0010703B" w:rsidRDefault="00A525D1" w:rsidP="00A525D1">
      <w:pPr>
        <w:pStyle w:val="ListParagraph"/>
        <w:numPr>
          <w:ilvl w:val="0"/>
          <w:numId w:val="1"/>
        </w:numPr>
        <w:spacing w:after="100" w:line="360" w:lineRule="auto"/>
        <w:jc w:val="both"/>
        <w:rPr>
          <w:rFonts w:ascii="Calibri" w:hAnsi="Calibri" w:cs="Times New Roman"/>
          <w:color w:val="2E74B5" w:themeColor="accent1" w:themeShade="BF"/>
          <w:sz w:val="20"/>
          <w:szCs w:val="20"/>
        </w:rPr>
      </w:pPr>
      <w:r w:rsidRPr="0010703B">
        <w:rPr>
          <w:rFonts w:ascii="Calibri" w:hAnsi="Calibri" w:cs="Times New Roman"/>
          <w:color w:val="2E74B5" w:themeColor="accent1" w:themeShade="BF"/>
          <w:sz w:val="20"/>
          <w:szCs w:val="20"/>
        </w:rPr>
        <w:t>Actively promoting and encourage pupils’ participation in extra-curricular music, including solo recitals and school concerts.</w:t>
      </w:r>
    </w:p>
    <w:p w:rsidR="00A525D1" w:rsidRPr="0010703B" w:rsidRDefault="00A525D1" w:rsidP="00A525D1">
      <w:pPr>
        <w:pStyle w:val="ListParagraph"/>
        <w:numPr>
          <w:ilvl w:val="0"/>
          <w:numId w:val="1"/>
        </w:numPr>
        <w:spacing w:after="100" w:line="360" w:lineRule="auto"/>
        <w:jc w:val="both"/>
        <w:rPr>
          <w:rFonts w:ascii="Calibri" w:hAnsi="Calibri" w:cs="Times New Roman"/>
          <w:color w:val="2E74B5" w:themeColor="accent1" w:themeShade="BF"/>
          <w:sz w:val="20"/>
          <w:szCs w:val="20"/>
        </w:rPr>
      </w:pPr>
      <w:r w:rsidRPr="0010703B">
        <w:rPr>
          <w:rFonts w:ascii="Calibri" w:hAnsi="Calibri" w:cs="Times New Roman"/>
          <w:color w:val="2E74B5" w:themeColor="accent1" w:themeShade="BF"/>
          <w:sz w:val="20"/>
          <w:szCs w:val="20"/>
        </w:rPr>
        <w:t>Entering pupils for examinations through the Music and Drama Administrator as and when appropriate and prepare them to succeed.</w:t>
      </w:r>
    </w:p>
    <w:p w:rsidR="00A525D1" w:rsidRPr="0010703B" w:rsidRDefault="00A525D1" w:rsidP="00A525D1">
      <w:pPr>
        <w:pStyle w:val="ListParagraph"/>
        <w:numPr>
          <w:ilvl w:val="0"/>
          <w:numId w:val="1"/>
        </w:numPr>
        <w:spacing w:after="100" w:line="360" w:lineRule="auto"/>
        <w:jc w:val="both"/>
        <w:rPr>
          <w:rFonts w:ascii="Calibri" w:hAnsi="Calibri" w:cs="Times New Roman"/>
          <w:color w:val="2E74B5" w:themeColor="accent1" w:themeShade="BF"/>
          <w:sz w:val="20"/>
          <w:szCs w:val="20"/>
        </w:rPr>
      </w:pPr>
      <w:r w:rsidRPr="0010703B">
        <w:rPr>
          <w:rFonts w:ascii="Calibri" w:hAnsi="Calibri" w:cs="Times New Roman"/>
          <w:color w:val="2E74B5" w:themeColor="accent1" w:themeShade="BF"/>
          <w:sz w:val="20"/>
          <w:szCs w:val="20"/>
        </w:rPr>
        <w:t>Invoicing parents in a timely manner at the beginning of each new term and ensuring that an accurate register of lesson is kept</w:t>
      </w:r>
    </w:p>
    <w:p w:rsidR="00A525D1" w:rsidRPr="0010703B" w:rsidRDefault="00A525D1" w:rsidP="00A525D1">
      <w:pPr>
        <w:pStyle w:val="ListParagraph"/>
        <w:numPr>
          <w:ilvl w:val="0"/>
          <w:numId w:val="1"/>
        </w:numPr>
        <w:spacing w:after="100" w:line="360" w:lineRule="auto"/>
        <w:jc w:val="both"/>
        <w:rPr>
          <w:rFonts w:ascii="Calibri" w:hAnsi="Calibri" w:cs="Times New Roman"/>
          <w:color w:val="2E74B5" w:themeColor="accent1" w:themeShade="BF"/>
          <w:sz w:val="20"/>
          <w:szCs w:val="20"/>
        </w:rPr>
      </w:pPr>
      <w:r w:rsidRPr="0010703B">
        <w:rPr>
          <w:rFonts w:ascii="Calibri" w:hAnsi="Calibri" w:cs="Times New Roman"/>
          <w:color w:val="2E74B5" w:themeColor="accent1" w:themeShade="BF"/>
          <w:sz w:val="20"/>
          <w:szCs w:val="20"/>
        </w:rPr>
        <w:t>Communicating with parents when necessary via the pupils’ practice notebooks and responding to parents’ queries and concerns as and when they arise in a professional and timely manner.</w:t>
      </w:r>
    </w:p>
    <w:p w:rsidR="00A525D1" w:rsidRPr="0010703B" w:rsidRDefault="00A525D1" w:rsidP="00A525D1">
      <w:pPr>
        <w:pStyle w:val="ListParagraph"/>
        <w:numPr>
          <w:ilvl w:val="0"/>
          <w:numId w:val="1"/>
        </w:numPr>
        <w:spacing w:after="100" w:line="360" w:lineRule="auto"/>
        <w:jc w:val="both"/>
        <w:rPr>
          <w:rFonts w:ascii="Calibri" w:hAnsi="Calibri" w:cs="Times New Roman"/>
          <w:color w:val="2E74B5" w:themeColor="accent1" w:themeShade="BF"/>
          <w:sz w:val="20"/>
          <w:szCs w:val="20"/>
        </w:rPr>
      </w:pPr>
      <w:r w:rsidRPr="0010703B">
        <w:rPr>
          <w:rFonts w:ascii="Calibri" w:hAnsi="Calibri" w:cs="Times New Roman"/>
          <w:color w:val="2E74B5" w:themeColor="accent1" w:themeShade="BF"/>
          <w:sz w:val="20"/>
          <w:szCs w:val="20"/>
        </w:rPr>
        <w:t>Observing relevant school policies such as the Code of Conduct for Staff and Contractors, Child Protection and Safeguarding and Health and Safety policies.</w:t>
      </w:r>
    </w:p>
    <w:p w:rsidR="00A525D1" w:rsidRPr="00914944" w:rsidRDefault="00A525D1" w:rsidP="00A525D1">
      <w:pPr>
        <w:pBdr>
          <w:bottom w:val="single" w:sz="4" w:space="1" w:color="1F4E79" w:themeColor="accent1" w:themeShade="80"/>
        </w:pBdr>
        <w:outlineLvl w:val="0"/>
        <w:rPr>
          <w:rFonts w:ascii="Calibri" w:hAnsi="Calibri"/>
          <w:b/>
          <w:color w:val="2E74B5" w:themeColor="accent1" w:themeShade="BF"/>
          <w:sz w:val="40"/>
        </w:rPr>
      </w:pPr>
      <w:bookmarkStart w:id="0" w:name="_GoBack"/>
      <w:bookmarkEnd w:id="0"/>
      <w:r>
        <w:rPr>
          <w:rFonts w:ascii="Calibri" w:hAnsi="Calibri"/>
          <w:b/>
          <w:color w:val="2E74B5" w:themeColor="accent1" w:themeShade="BF"/>
          <w:sz w:val="40"/>
        </w:rPr>
        <w:t>PERSON SPECIFICATION</w:t>
      </w:r>
    </w:p>
    <w:p w:rsidR="00A525D1" w:rsidRDefault="00A525D1" w:rsidP="00A525D1">
      <w:pPr>
        <w:spacing w:line="276" w:lineRule="auto"/>
        <w:rPr>
          <w:rFonts w:ascii="Calibri" w:hAnsi="Calibri"/>
          <w:color w:val="2E74B5" w:themeColor="accent1" w:themeShade="BF"/>
          <w:sz w:val="28"/>
          <w:szCs w:val="28"/>
        </w:rPr>
      </w:pPr>
    </w:p>
    <w:p w:rsidR="00A525D1" w:rsidRDefault="00A525D1" w:rsidP="00A525D1">
      <w:pPr>
        <w:spacing w:line="276" w:lineRule="auto"/>
        <w:rPr>
          <w:rFonts w:ascii="Calibri" w:hAnsi="Calibri"/>
          <w:color w:val="2E74B5" w:themeColor="accent1" w:themeShade="BF"/>
          <w:sz w:val="28"/>
          <w:szCs w:val="28"/>
        </w:rPr>
      </w:pPr>
      <w:r w:rsidRPr="00EA2BA3">
        <w:rPr>
          <w:rFonts w:ascii="Calibri" w:hAnsi="Calibri"/>
          <w:color w:val="2E74B5" w:themeColor="accent1" w:themeShade="BF"/>
          <w:sz w:val="28"/>
          <w:szCs w:val="28"/>
        </w:rPr>
        <w:t xml:space="preserve">The ideal candidate will </w:t>
      </w:r>
      <w:r>
        <w:rPr>
          <w:rFonts w:ascii="Calibri" w:hAnsi="Calibri"/>
          <w:color w:val="2E74B5" w:themeColor="accent1" w:themeShade="BF"/>
          <w:sz w:val="28"/>
          <w:szCs w:val="28"/>
        </w:rPr>
        <w:t>have:</w:t>
      </w:r>
      <w:r w:rsidRPr="00EA2BA3">
        <w:rPr>
          <w:rFonts w:ascii="Calibri" w:hAnsi="Calibri"/>
          <w:color w:val="2E74B5" w:themeColor="accent1" w:themeShade="BF"/>
          <w:sz w:val="28"/>
          <w:szCs w:val="28"/>
        </w:rPr>
        <w:t xml:space="preserve"> </w:t>
      </w:r>
    </w:p>
    <w:p w:rsidR="00A525D1" w:rsidRDefault="00A525D1" w:rsidP="00A525D1">
      <w:pPr>
        <w:spacing w:line="276" w:lineRule="auto"/>
        <w:rPr>
          <w:rFonts w:ascii="Calibri" w:hAnsi="Calibri"/>
          <w:color w:val="2E74B5" w:themeColor="accent1" w:themeShade="BF"/>
          <w:sz w:val="28"/>
          <w:szCs w:val="28"/>
        </w:rPr>
      </w:pPr>
    </w:p>
    <w:p w:rsidR="00A525D1" w:rsidRPr="0010703B" w:rsidRDefault="00A525D1" w:rsidP="00A525D1">
      <w:pPr>
        <w:numPr>
          <w:ilvl w:val="0"/>
          <w:numId w:val="1"/>
        </w:numPr>
        <w:spacing w:line="360" w:lineRule="auto"/>
        <w:rPr>
          <w:rFonts w:ascii="Calibri" w:hAnsi="Calibri"/>
          <w:color w:val="2E74B5" w:themeColor="accent1" w:themeShade="BF"/>
          <w:sz w:val="20"/>
          <w:szCs w:val="20"/>
        </w:rPr>
      </w:pPr>
      <w:r w:rsidRPr="0010703B">
        <w:rPr>
          <w:rFonts w:ascii="Calibri" w:hAnsi="Calibri"/>
          <w:color w:val="2E74B5" w:themeColor="accent1" w:themeShade="BF"/>
          <w:sz w:val="20"/>
          <w:szCs w:val="20"/>
        </w:rPr>
        <w:t>A relevant music qualification at degree level.</w:t>
      </w:r>
    </w:p>
    <w:p w:rsidR="00A525D1" w:rsidRPr="0010703B" w:rsidRDefault="00A525D1" w:rsidP="00A525D1">
      <w:pPr>
        <w:numPr>
          <w:ilvl w:val="0"/>
          <w:numId w:val="1"/>
        </w:numPr>
        <w:spacing w:line="360" w:lineRule="auto"/>
        <w:rPr>
          <w:rFonts w:ascii="Calibri" w:hAnsi="Calibri"/>
          <w:color w:val="2E74B5" w:themeColor="accent1" w:themeShade="BF"/>
          <w:sz w:val="20"/>
          <w:szCs w:val="20"/>
        </w:rPr>
      </w:pPr>
      <w:r w:rsidRPr="0010703B">
        <w:rPr>
          <w:rFonts w:ascii="Calibri" w:hAnsi="Calibri"/>
          <w:color w:val="2E74B5" w:themeColor="accent1" w:themeShade="BF"/>
          <w:sz w:val="20"/>
          <w:szCs w:val="20"/>
        </w:rPr>
        <w:t>Experience in teaching the piano to pupils aged between 3-13, both boys and girls.</w:t>
      </w:r>
    </w:p>
    <w:p w:rsidR="00A525D1" w:rsidRPr="0010703B" w:rsidRDefault="00A525D1" w:rsidP="00A525D1">
      <w:pPr>
        <w:numPr>
          <w:ilvl w:val="0"/>
          <w:numId w:val="1"/>
        </w:numPr>
        <w:spacing w:line="360" w:lineRule="auto"/>
        <w:rPr>
          <w:rFonts w:ascii="Calibri" w:hAnsi="Calibri"/>
          <w:color w:val="2E74B5" w:themeColor="accent1" w:themeShade="BF"/>
          <w:sz w:val="20"/>
          <w:szCs w:val="20"/>
        </w:rPr>
      </w:pPr>
      <w:r w:rsidRPr="0010703B">
        <w:rPr>
          <w:rFonts w:ascii="Calibri" w:hAnsi="Calibri"/>
          <w:color w:val="2E74B5" w:themeColor="accent1" w:themeShade="BF"/>
          <w:sz w:val="20"/>
          <w:szCs w:val="20"/>
        </w:rPr>
        <w:lastRenderedPageBreak/>
        <w:t>A unique approach to teaching the piano which is inspiring and is not based solely on exam repertoire</w:t>
      </w:r>
    </w:p>
    <w:p w:rsidR="00A525D1" w:rsidRPr="0010703B" w:rsidRDefault="00A525D1" w:rsidP="00A525D1">
      <w:pPr>
        <w:numPr>
          <w:ilvl w:val="0"/>
          <w:numId w:val="1"/>
        </w:numPr>
        <w:spacing w:line="360" w:lineRule="auto"/>
        <w:rPr>
          <w:rFonts w:ascii="Calibri" w:hAnsi="Calibri"/>
          <w:color w:val="2E74B5" w:themeColor="accent1" w:themeShade="BF"/>
          <w:sz w:val="20"/>
          <w:szCs w:val="20"/>
        </w:rPr>
      </w:pPr>
      <w:r w:rsidRPr="0010703B">
        <w:rPr>
          <w:rFonts w:ascii="Calibri" w:hAnsi="Calibri"/>
          <w:color w:val="2E74B5" w:themeColor="accent1" w:themeShade="BF"/>
          <w:sz w:val="20"/>
          <w:szCs w:val="20"/>
        </w:rPr>
        <w:t>Extensive performing experience in their own right.</w:t>
      </w:r>
    </w:p>
    <w:p w:rsidR="00A525D1" w:rsidRPr="0010703B" w:rsidRDefault="00A525D1" w:rsidP="00A525D1">
      <w:pPr>
        <w:numPr>
          <w:ilvl w:val="0"/>
          <w:numId w:val="1"/>
        </w:numPr>
        <w:spacing w:line="360" w:lineRule="auto"/>
        <w:rPr>
          <w:rFonts w:ascii="Calibri" w:hAnsi="Calibri"/>
          <w:color w:val="2E74B5" w:themeColor="accent1" w:themeShade="BF"/>
          <w:sz w:val="20"/>
          <w:szCs w:val="20"/>
        </w:rPr>
      </w:pPr>
      <w:r w:rsidRPr="0010703B">
        <w:rPr>
          <w:rFonts w:ascii="Calibri" w:hAnsi="Calibri"/>
          <w:color w:val="2E74B5" w:themeColor="accent1" w:themeShade="BF"/>
          <w:sz w:val="20"/>
          <w:szCs w:val="20"/>
        </w:rPr>
        <w:t>A sound understanding of technique, particularly with regard to young players.</w:t>
      </w:r>
    </w:p>
    <w:p w:rsidR="00A525D1" w:rsidRPr="0010703B" w:rsidRDefault="00A525D1" w:rsidP="00A525D1">
      <w:pPr>
        <w:numPr>
          <w:ilvl w:val="0"/>
          <w:numId w:val="1"/>
        </w:numPr>
        <w:spacing w:line="360" w:lineRule="auto"/>
        <w:rPr>
          <w:rFonts w:ascii="Calibri" w:hAnsi="Calibri"/>
          <w:color w:val="2E74B5" w:themeColor="accent1" w:themeShade="BF"/>
          <w:sz w:val="20"/>
          <w:szCs w:val="20"/>
        </w:rPr>
      </w:pPr>
      <w:r w:rsidRPr="0010703B">
        <w:rPr>
          <w:rFonts w:ascii="Calibri" w:hAnsi="Calibri"/>
          <w:color w:val="2E74B5" w:themeColor="accent1" w:themeShade="BF"/>
          <w:sz w:val="20"/>
          <w:szCs w:val="20"/>
        </w:rPr>
        <w:t xml:space="preserve">Excellent oral and written communication skills. </w:t>
      </w:r>
    </w:p>
    <w:p w:rsidR="00A525D1" w:rsidRPr="0010703B" w:rsidRDefault="00A525D1" w:rsidP="00A525D1">
      <w:pPr>
        <w:numPr>
          <w:ilvl w:val="0"/>
          <w:numId w:val="1"/>
        </w:numPr>
        <w:spacing w:line="360" w:lineRule="auto"/>
        <w:rPr>
          <w:rFonts w:ascii="Calibri" w:hAnsi="Calibri"/>
          <w:color w:val="2E74B5" w:themeColor="accent1" w:themeShade="BF"/>
          <w:sz w:val="20"/>
          <w:szCs w:val="20"/>
        </w:rPr>
      </w:pPr>
      <w:r w:rsidRPr="0010703B">
        <w:rPr>
          <w:rFonts w:ascii="Calibri" w:hAnsi="Calibri"/>
          <w:color w:val="2E74B5" w:themeColor="accent1" w:themeShade="BF"/>
          <w:sz w:val="20"/>
          <w:szCs w:val="20"/>
        </w:rPr>
        <w:t>An ability to work as part of a team.</w:t>
      </w:r>
    </w:p>
    <w:p w:rsidR="00A525D1" w:rsidRPr="0010703B" w:rsidRDefault="00A525D1" w:rsidP="00A525D1">
      <w:pPr>
        <w:numPr>
          <w:ilvl w:val="0"/>
          <w:numId w:val="1"/>
        </w:numPr>
        <w:spacing w:line="360" w:lineRule="auto"/>
        <w:rPr>
          <w:rFonts w:ascii="Calibri" w:hAnsi="Calibri"/>
          <w:color w:val="2E74B5" w:themeColor="accent1" w:themeShade="BF"/>
          <w:sz w:val="20"/>
          <w:szCs w:val="20"/>
        </w:rPr>
      </w:pPr>
      <w:r w:rsidRPr="0010703B">
        <w:rPr>
          <w:rFonts w:ascii="Calibri" w:hAnsi="Calibri"/>
          <w:color w:val="2E74B5" w:themeColor="accent1" w:themeShade="BF"/>
          <w:sz w:val="20"/>
          <w:szCs w:val="20"/>
        </w:rPr>
        <w:t>An approachable and engaging manner</w:t>
      </w:r>
    </w:p>
    <w:p w:rsidR="00A525D1" w:rsidRPr="0010703B" w:rsidRDefault="00A525D1" w:rsidP="00A525D1">
      <w:pPr>
        <w:numPr>
          <w:ilvl w:val="0"/>
          <w:numId w:val="1"/>
        </w:numPr>
        <w:spacing w:line="360" w:lineRule="auto"/>
        <w:rPr>
          <w:rFonts w:ascii="Calibri" w:hAnsi="Calibri"/>
          <w:color w:val="2E74B5" w:themeColor="accent1" w:themeShade="BF"/>
          <w:sz w:val="20"/>
          <w:szCs w:val="20"/>
        </w:rPr>
      </w:pPr>
      <w:r w:rsidRPr="0010703B">
        <w:rPr>
          <w:rFonts w:ascii="Calibri" w:hAnsi="Calibri"/>
          <w:color w:val="2E74B5" w:themeColor="accent1" w:themeShade="BF"/>
          <w:sz w:val="20"/>
          <w:szCs w:val="20"/>
        </w:rPr>
        <w:t>An understanding of, and commitment to, safeguarding and promoting the welfare of children.</w:t>
      </w:r>
    </w:p>
    <w:p w:rsidR="00A525D1" w:rsidRPr="0010703B" w:rsidRDefault="00A525D1" w:rsidP="00A525D1">
      <w:pPr>
        <w:numPr>
          <w:ilvl w:val="0"/>
          <w:numId w:val="1"/>
        </w:numPr>
        <w:spacing w:line="360" w:lineRule="auto"/>
        <w:rPr>
          <w:rFonts w:ascii="Calibri" w:hAnsi="Calibri"/>
          <w:color w:val="2E74B5" w:themeColor="accent1" w:themeShade="BF"/>
          <w:sz w:val="20"/>
          <w:szCs w:val="20"/>
        </w:rPr>
      </w:pPr>
      <w:r w:rsidRPr="0010703B">
        <w:rPr>
          <w:rFonts w:ascii="Calibri" w:hAnsi="Calibri"/>
          <w:color w:val="2E74B5" w:themeColor="accent1" w:themeShade="BF"/>
          <w:sz w:val="20"/>
          <w:szCs w:val="20"/>
        </w:rPr>
        <w:t>Enhanced disclosure via the Disclosure and Barring Service, including a Barred List check</w:t>
      </w:r>
    </w:p>
    <w:p w:rsidR="00A525D1" w:rsidRDefault="00A525D1" w:rsidP="00A525D1"/>
    <w:sectPr w:rsidR="00A52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5650"/>
    <w:multiLevelType w:val="hybridMultilevel"/>
    <w:tmpl w:val="29668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D1"/>
    <w:rsid w:val="007974E3"/>
    <w:rsid w:val="00A5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2B5F"/>
  <w15:chartTrackingRefBased/>
  <w15:docId w15:val="{654A5F29-DCF4-47D1-8EAB-E5BD89EF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5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5D1"/>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10F1CD1E</Template>
  <TotalTime>1</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Newton Prep</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Hourigan - HR Manager</dc:creator>
  <cp:keywords/>
  <dc:description/>
  <cp:lastModifiedBy>Pauline Hourigan - HR Manager</cp:lastModifiedBy>
  <cp:revision>1</cp:revision>
  <dcterms:created xsi:type="dcterms:W3CDTF">2019-09-03T15:38:00Z</dcterms:created>
  <dcterms:modified xsi:type="dcterms:W3CDTF">2019-09-03T15:40:00Z</dcterms:modified>
</cp:coreProperties>
</file>